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46440D" w14:textId="72496FAF" w:rsidR="00954ADA" w:rsidRDefault="00954ADA" w:rsidP="00954ADA">
      <w:pPr>
        <w:pStyle w:val="Styl1"/>
        <w:rPr>
          <w:rFonts w:cs="Arial"/>
        </w:rPr>
      </w:pPr>
      <w:bookmarkStart w:id="0" w:name="_Hlk166583120"/>
      <w:r w:rsidRPr="00376144">
        <w:rPr>
          <w:rFonts w:cs="Arial"/>
          <w:b/>
          <w:bCs/>
        </w:rPr>
        <w:t xml:space="preserve">Załącznik nr </w:t>
      </w:r>
      <w:r w:rsidR="00F340C3">
        <w:rPr>
          <w:rFonts w:cs="Arial"/>
          <w:b/>
          <w:bCs/>
        </w:rPr>
        <w:t>5</w:t>
      </w:r>
      <w:r>
        <w:rPr>
          <w:rFonts w:cs="Arial"/>
          <w:b/>
          <w:bCs/>
        </w:rPr>
        <w:t xml:space="preserve"> do SWIZ</w:t>
      </w:r>
    </w:p>
    <w:p w14:paraId="7EAD4BCF" w14:textId="77777777" w:rsidR="00954ADA" w:rsidRPr="00A14D9B" w:rsidRDefault="00954ADA" w:rsidP="00954ADA">
      <w:pPr>
        <w:pStyle w:val="Styl1"/>
        <w:rPr>
          <w:i/>
        </w:rPr>
      </w:pPr>
      <w:r>
        <w:rPr>
          <w:rFonts w:cs="Arial"/>
        </w:rPr>
        <w:t xml:space="preserve"> </w:t>
      </w:r>
      <w:r w:rsidRPr="00A14D9B">
        <w:rPr>
          <w:rFonts w:cs="Arial"/>
        </w:rPr>
        <w:t xml:space="preserve">– </w:t>
      </w:r>
      <w:r>
        <w:rPr>
          <w:rFonts w:cs="Arial"/>
        </w:rPr>
        <w:t>Opis przedmiotu zamówienia</w:t>
      </w:r>
    </w:p>
    <w:p w14:paraId="59424107" w14:textId="0223663E" w:rsidR="00954ADA" w:rsidRPr="00E421F9" w:rsidRDefault="00954ADA" w:rsidP="00954ADA">
      <w:pPr>
        <w:spacing w:before="120" w:after="120"/>
        <w:rPr>
          <w:rFonts w:ascii="Arial" w:hAnsi="Arial" w:cs="Arial"/>
          <w:b/>
          <w:color w:val="000000" w:themeColor="text1"/>
          <w:sz w:val="22"/>
          <w:szCs w:val="22"/>
        </w:rPr>
      </w:pPr>
      <w:r>
        <w:rPr>
          <w:rFonts w:ascii="Arial" w:hAnsi="Arial" w:cs="Arial"/>
          <w:sz w:val="22"/>
          <w:szCs w:val="22"/>
        </w:rPr>
        <w:t xml:space="preserve">Nr sprawy: </w:t>
      </w:r>
      <w:r w:rsidRPr="00E421F9">
        <w:rPr>
          <w:rFonts w:ascii="Arial" w:hAnsi="Arial" w:cs="Arial"/>
          <w:b/>
          <w:color w:val="000000" w:themeColor="text1"/>
          <w:sz w:val="22"/>
          <w:szCs w:val="22"/>
        </w:rPr>
        <w:t>Z</w:t>
      </w:r>
      <w:r>
        <w:rPr>
          <w:rFonts w:ascii="Arial" w:hAnsi="Arial" w:cs="Arial"/>
          <w:b/>
          <w:color w:val="000000" w:themeColor="text1"/>
          <w:sz w:val="22"/>
          <w:szCs w:val="22"/>
        </w:rPr>
        <w:t>-1</w:t>
      </w:r>
      <w:r w:rsidR="00F8782C">
        <w:rPr>
          <w:rFonts w:ascii="Arial" w:hAnsi="Arial" w:cs="Arial"/>
          <w:b/>
          <w:color w:val="000000" w:themeColor="text1"/>
          <w:sz w:val="22"/>
          <w:szCs w:val="22"/>
        </w:rPr>
        <w:t>80</w:t>
      </w:r>
      <w:r w:rsidRPr="00E421F9">
        <w:rPr>
          <w:rFonts w:ascii="Arial" w:hAnsi="Arial" w:cs="Arial"/>
          <w:b/>
          <w:color w:val="000000" w:themeColor="text1"/>
          <w:sz w:val="22"/>
          <w:szCs w:val="22"/>
        </w:rPr>
        <w:t>/D/RZ/2026</w:t>
      </w:r>
    </w:p>
    <w:p w14:paraId="5DC59B0F" w14:textId="77777777" w:rsidR="00954ADA" w:rsidRPr="00E421F9" w:rsidRDefault="00954ADA" w:rsidP="00954ADA">
      <w:pPr>
        <w:spacing w:after="120"/>
        <w:rPr>
          <w:rFonts w:ascii="Arial" w:hAnsi="Arial" w:cs="Arial"/>
          <w:sz w:val="22"/>
          <w:szCs w:val="22"/>
        </w:rPr>
      </w:pPr>
      <w:r w:rsidRPr="00E421F9">
        <w:rPr>
          <w:rFonts w:ascii="Arial" w:hAnsi="Arial" w:cs="Arial"/>
          <w:color w:val="000000" w:themeColor="text1"/>
          <w:sz w:val="22"/>
          <w:szCs w:val="22"/>
        </w:rPr>
        <w:t>Zamówienie pn. „</w:t>
      </w:r>
      <w:r>
        <w:rPr>
          <w:rFonts w:ascii="Arial" w:hAnsi="Arial" w:cs="Arial"/>
          <w:i/>
          <w:color w:val="000000" w:themeColor="text1"/>
          <w:sz w:val="22"/>
          <w:szCs w:val="22"/>
        </w:rPr>
        <w:t>Modernizacja układu podawania wapna do reaktora suchego”</w:t>
      </w:r>
    </w:p>
    <w:p w14:paraId="00DA6F69" w14:textId="77777777" w:rsidR="00954ADA" w:rsidRPr="0016624A" w:rsidRDefault="00954ADA" w:rsidP="00954ADA">
      <w:pPr>
        <w:spacing w:after="120"/>
        <w:rPr>
          <w:rFonts w:ascii="Arial" w:hAnsi="Arial" w:cs="Arial"/>
          <w:b/>
          <w:sz w:val="22"/>
          <w:szCs w:val="22"/>
        </w:rPr>
      </w:pPr>
      <w:r w:rsidRPr="00AD4FC2">
        <w:rPr>
          <w:rFonts w:ascii="Arial" w:hAnsi="Arial" w:cs="Arial"/>
          <w:sz w:val="22"/>
          <w:szCs w:val="22"/>
        </w:rPr>
        <w:t>ZAMAWIAJACY:</w:t>
      </w:r>
      <w:r>
        <w:rPr>
          <w:rFonts w:ascii="Arial" w:hAnsi="Arial" w:cs="Arial"/>
          <w:sz w:val="22"/>
          <w:szCs w:val="22"/>
        </w:rPr>
        <w:t xml:space="preserve"> </w:t>
      </w:r>
      <w:r w:rsidRPr="00DE137B">
        <w:rPr>
          <w:rFonts w:ascii="Arial" w:hAnsi="Arial" w:cs="Arial"/>
          <w:b/>
          <w:sz w:val="22"/>
          <w:szCs w:val="22"/>
        </w:rPr>
        <w:t xml:space="preserve">Miejskie Wodociągi i Kanalizacja w Bydgoszczy </w:t>
      </w:r>
      <w:r>
        <w:rPr>
          <w:rFonts w:ascii="Arial" w:hAnsi="Arial" w:cs="Arial"/>
          <w:b/>
          <w:sz w:val="22"/>
          <w:szCs w:val="22"/>
        </w:rPr>
        <w:t>- s</w:t>
      </w:r>
      <w:r w:rsidRPr="00DE137B">
        <w:rPr>
          <w:rFonts w:ascii="Arial" w:hAnsi="Arial" w:cs="Arial"/>
          <w:b/>
          <w:sz w:val="22"/>
          <w:szCs w:val="22"/>
        </w:rPr>
        <w:t>półka z o.o.</w:t>
      </w:r>
    </w:p>
    <w:bookmarkEnd w:id="0"/>
    <w:p w14:paraId="56F0C445" w14:textId="77777777" w:rsidR="00954ADA" w:rsidRPr="00E50DF8" w:rsidRDefault="00954ADA" w:rsidP="00954ADA">
      <w:pPr>
        <w:tabs>
          <w:tab w:val="left" w:pos="0"/>
        </w:tabs>
        <w:jc w:val="both"/>
        <w:rPr>
          <w:rFonts w:ascii="Arial" w:hAnsi="Arial"/>
          <w:b/>
          <w:sz w:val="20"/>
          <w:szCs w:val="20"/>
          <w:u w:val="single"/>
        </w:rPr>
      </w:pPr>
    </w:p>
    <w:p w14:paraId="6DA65C96" w14:textId="77777777" w:rsidR="00954ADA" w:rsidRPr="0090082A" w:rsidRDefault="00954ADA" w:rsidP="00954ADA">
      <w:pPr>
        <w:pStyle w:val="Tytu"/>
        <w:spacing w:after="120"/>
        <w:rPr>
          <w:rFonts w:ascii="Arial" w:hAnsi="Arial"/>
          <w:sz w:val="22"/>
          <w:szCs w:val="22"/>
        </w:rPr>
      </w:pPr>
    </w:p>
    <w:p w14:paraId="223AE3C6" w14:textId="77777777" w:rsidR="00954ADA" w:rsidRPr="00622741" w:rsidRDefault="00954ADA" w:rsidP="00954ADA">
      <w:pPr>
        <w:pStyle w:val="Tytu"/>
        <w:spacing w:after="120"/>
        <w:rPr>
          <w:rFonts w:ascii="Arial" w:hAnsi="Arial"/>
          <w:sz w:val="28"/>
          <w:szCs w:val="28"/>
        </w:rPr>
      </w:pPr>
      <w:r w:rsidRPr="00622741">
        <w:rPr>
          <w:rFonts w:ascii="Arial" w:hAnsi="Arial"/>
          <w:sz w:val="28"/>
          <w:szCs w:val="28"/>
        </w:rPr>
        <w:t>Opis przedmiotu zamówienia</w:t>
      </w:r>
    </w:p>
    <w:p w14:paraId="382B996E"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a</w:t>
      </w:r>
      <w:r w:rsidRPr="009072F4">
        <w:rPr>
          <w:rFonts w:ascii="Arial" w:eastAsiaTheme="minorHAnsi" w:hAnsi="Arial" w:cs="Arial"/>
          <w:b/>
          <w:kern w:val="2"/>
          <w:sz w:val="22"/>
          <w:szCs w:val="22"/>
          <w:lang w:eastAsia="en-US"/>
          <w14:ligatures w14:val="standardContextual"/>
        </w:rPr>
        <w:t>) Przedmiotem zamówienia jest:</w:t>
      </w:r>
    </w:p>
    <w:p w14:paraId="7BA9D1EC" w14:textId="77777777" w:rsidR="009072F4" w:rsidRPr="009072F4" w:rsidRDefault="009072F4" w:rsidP="009072F4">
      <w:pPr>
        <w:spacing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Przedmiotem zamówienia jest modernizacja układu podawania wapna (Załącznik nr 1), obejmująca demontaż istniejącego urządzenia wraz z instalacją elektryczną sterowania lokalnego (Załącznik nr 3) oraz dostawę, montaż i uruchomienie nowego układu dozowania wapna wraz z instalacją sterowania lokalnego, z pełną integracją z istniejącą instalacją technologiczną oraz systemem sterowania. Nowy układ należy zamontować pod silosem wapna, do zasuwy nożowej DN 250   (Załącznik nr 2).</w:t>
      </w:r>
    </w:p>
    <w:p w14:paraId="3CE73715" w14:textId="77777777" w:rsidR="009072F4" w:rsidRPr="009072F4" w:rsidRDefault="009072F4" w:rsidP="009072F4">
      <w:pPr>
        <w:spacing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Sterowanie układem jest realizowane zarówno lokalnie - z poziomu urządzenia (Załącznik nr 3), jak i zdalnie - z poziomu systemu SCADA. Przełącznik wyboru trybu pracy lokalnej/zdalnej znajduje się na skrzynkach sterowania lokalnego (Załącznik nr 3). Zakres sterowania obejmuje możliwość niezależnego uruchamiania następujących elementów układu podawania wapna:</w:t>
      </w:r>
    </w:p>
    <w:p w14:paraId="0D38ED49" w14:textId="77777777" w:rsidR="009072F4" w:rsidRPr="009072F4" w:rsidRDefault="009072F4" w:rsidP="009072F4">
      <w:pPr>
        <w:spacing w:line="276"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dmuchawy transferowej wapna (Załącznik nr 4),</w:t>
      </w:r>
    </w:p>
    <w:p w14:paraId="5BF3B607" w14:textId="77777777" w:rsidR="009072F4" w:rsidRPr="009072F4" w:rsidRDefault="009072F4" w:rsidP="009072F4">
      <w:pPr>
        <w:spacing w:line="276"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silnika głównego z przekładnią,</w:t>
      </w:r>
    </w:p>
    <w:p w14:paraId="2F9B0056" w14:textId="77777777" w:rsidR="009072F4" w:rsidRPr="009072F4" w:rsidRDefault="009072F4" w:rsidP="009072F4">
      <w:pPr>
        <w:spacing w:line="276"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silnika podawczego wapna.</w:t>
      </w:r>
    </w:p>
    <w:p w14:paraId="6868BC41" w14:textId="77777777" w:rsidR="009072F4" w:rsidRPr="009072F4" w:rsidRDefault="009072F4" w:rsidP="009072F4">
      <w:pPr>
        <w:spacing w:before="240"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Silnik podawczy odpowiedzialny za dozowanie wapna umożliwia płynną regulację wydajności poprzez zadawanie wartości procentowych w zakresie pracy urządzenia.</w:t>
      </w:r>
    </w:p>
    <w:p w14:paraId="150B01BA" w14:textId="77777777" w:rsidR="009072F4" w:rsidRPr="009072F4" w:rsidRDefault="009072F4" w:rsidP="009072F4">
      <w:pPr>
        <w:spacing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Konieczność realizacji zamówienia wynika z faktu, iż obecnie eksploatowany podajnik wapna jest urządzeniem przewymiarowanym pod względem wydajnościowym — pracuje w zakresie 1–5% swojej wydajności nominalnej — w stosunku do rzeczywistych potrzeb technologicznych, co uniemożliwia płynną i precyzyjną regulację ilości dozowanego wapna.</w:t>
      </w:r>
    </w:p>
    <w:p w14:paraId="624DF690"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t>b) Opis pracy przedmiotu zamówienia:</w:t>
      </w:r>
    </w:p>
    <w:p w14:paraId="63F8E2C7" w14:textId="77777777" w:rsidR="009072F4" w:rsidRPr="009072F4" w:rsidRDefault="009072F4" w:rsidP="009072F4">
      <w:pPr>
        <w:spacing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xml:space="preserve">Wapno hydratyzowane [Ca(OH)2] (Załącznik 6) w postaci pylistej z silosu wapna przy pomocy  podajnika dozującego wapno i zaworu obrotowego wapna. Wapno jest transportowane pneumatycznie powietrzem kierowanym z dmuchawy transferowej  wapna za dmuchawą powietrza zamontowany jest manometr, zawór kulowy odcinający, zawór zwrotny oraz wyłącznik ciśnieniowy w celu uniknięcia uszkodzenia dmuchawy (Załącznik 5). Połączenie podajnika dozującego wapno i reaktora suchego realizowane  jest przy pomocy złącza elastycznego. </w:t>
      </w:r>
    </w:p>
    <w:p w14:paraId="5E20DEC8" w14:textId="77777777" w:rsidR="009072F4" w:rsidRPr="009072F4" w:rsidRDefault="009072F4" w:rsidP="009072F4">
      <w:pPr>
        <w:spacing w:after="160"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Na silosie wapna zabudowany jest pomiar poziomu od którego wyprowadzony jest sygnał alarmowy wysokiego poziomu, a także pomiar poziomu z alarmem od niskiego wskazania. Sygnał z obu pomiarów wyprowadzony jest do systemu PLC. W dolnej części zbiornika znajdują się dysze, przez które okresowo przepływa sprężone powietrze do sterowania zapobiegające powstawaniu nawisów wapna w leju silosu.</w:t>
      </w:r>
    </w:p>
    <w:p w14:paraId="2E0F8D7A" w14:textId="77777777" w:rsidR="009072F4" w:rsidRPr="009072F4" w:rsidRDefault="009072F4" w:rsidP="009072F4">
      <w:p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Podajnik pracuje w sposób ciągły przy następujących założeniach:</w:t>
      </w:r>
    </w:p>
    <w:p w14:paraId="25B34D99" w14:textId="77777777" w:rsidR="009072F4" w:rsidRPr="009072F4" w:rsidRDefault="009072F4" w:rsidP="009072F4">
      <w:pPr>
        <w:spacing w:after="160" w:line="259" w:lineRule="auto"/>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lastRenderedPageBreak/>
        <w:t xml:space="preserve">- 24 godziny na dobę, </w:t>
      </w:r>
    </w:p>
    <w:p w14:paraId="6BBC56B3" w14:textId="74C01A50" w:rsidR="009072F4" w:rsidRPr="009072F4" w:rsidRDefault="009072F4" w:rsidP="009072F4">
      <w:pPr>
        <w:spacing w:after="160" w:line="259" w:lineRule="auto"/>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- 8000 godzin rocznie.</w:t>
      </w:r>
    </w:p>
    <w:p w14:paraId="3356F462" w14:textId="77777777" w:rsidR="009072F4" w:rsidRPr="009072F4" w:rsidRDefault="009072F4" w:rsidP="009072F4">
      <w:pPr>
        <w:spacing w:after="160" w:line="259" w:lineRule="auto"/>
        <w:jc w:val="both"/>
        <w:rPr>
          <w:rFonts w:ascii="Arial" w:eastAsiaTheme="minorHAnsi" w:hAnsi="Arial" w:cs="Arial"/>
          <w:b/>
          <w:bCs/>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c) Zasada działania</w:t>
      </w:r>
    </w:p>
    <w:p w14:paraId="29EA280C" w14:textId="77777777" w:rsidR="009072F4" w:rsidRPr="009072F4" w:rsidRDefault="009072F4" w:rsidP="009072F4">
      <w:pPr>
        <w:spacing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ab/>
      </w:r>
      <w:r w:rsidRPr="009072F4">
        <w:rPr>
          <w:rFonts w:ascii="Arial" w:eastAsiaTheme="minorHAnsi" w:hAnsi="Arial" w:cs="Arial"/>
          <w:kern w:val="2"/>
          <w:sz w:val="22"/>
          <w:szCs w:val="22"/>
          <w:lang w:eastAsia="en-US"/>
          <w14:ligatures w14:val="standardContextual"/>
        </w:rPr>
        <w:t>Zawór obrotowy wapna hydratyzowanego służy do równomiernego transportu wapna hydratyzowanego z silosa wapna hydratyzowanego do reaktora suchego , a po zatrzymaniu dozownik spełnia rolę zaworu zamykającego przepływ medium i powietrza.</w:t>
      </w:r>
    </w:p>
    <w:p w14:paraId="170F2309" w14:textId="77777777" w:rsidR="009072F4" w:rsidRPr="009072F4" w:rsidRDefault="009072F4" w:rsidP="009072F4">
      <w:pPr>
        <w:spacing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Budowa urządzenia</w:t>
      </w:r>
      <w:r w:rsidRPr="009072F4">
        <w:rPr>
          <w:rFonts w:ascii="Arial" w:eastAsiaTheme="minorHAnsi" w:hAnsi="Arial" w:cs="Arial"/>
          <w:kern w:val="2"/>
          <w:sz w:val="22"/>
          <w:szCs w:val="22"/>
          <w:lang w:eastAsia="en-US"/>
          <w14:ligatures w14:val="standardContextual"/>
        </w:rPr>
        <w:t xml:space="preserve"> – zawory obrotowe składają się z ruchomego wirnika z łopatkami (dozownika) umieszczonego wewnątrz obudowy. Wirnik poruszany jest za pomocą silnika elektrycznego.</w:t>
      </w:r>
    </w:p>
    <w:p w14:paraId="3ABFDF78" w14:textId="77777777" w:rsidR="009072F4" w:rsidRPr="009072F4" w:rsidRDefault="009072F4" w:rsidP="009072F4">
      <w:pPr>
        <w:spacing w:line="360"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Działanie urządzenia</w:t>
      </w:r>
      <w:r w:rsidRPr="009072F4">
        <w:rPr>
          <w:rFonts w:ascii="Arial" w:eastAsiaTheme="minorHAnsi" w:hAnsi="Arial" w:cs="Arial"/>
          <w:kern w:val="2"/>
          <w:sz w:val="22"/>
          <w:szCs w:val="22"/>
          <w:lang w:eastAsia="en-US"/>
          <w14:ligatures w14:val="standardContextual"/>
        </w:rPr>
        <w:t xml:space="preserve"> – medium z podajnika dozującego wpada przez otwór wlotowy dozownika do przestrzeni </w:t>
      </w:r>
      <w:proofErr w:type="spellStart"/>
      <w:r w:rsidRPr="009072F4">
        <w:rPr>
          <w:rFonts w:ascii="Arial" w:eastAsiaTheme="minorHAnsi" w:hAnsi="Arial" w:cs="Arial"/>
          <w:kern w:val="2"/>
          <w:sz w:val="22"/>
          <w:szCs w:val="22"/>
          <w:lang w:eastAsia="en-US"/>
          <w14:ligatures w14:val="standardContextual"/>
        </w:rPr>
        <w:t>międzyłopatkowej</w:t>
      </w:r>
      <w:proofErr w:type="spellEnd"/>
      <w:r w:rsidRPr="009072F4">
        <w:rPr>
          <w:rFonts w:ascii="Arial" w:eastAsiaTheme="minorHAnsi" w:hAnsi="Arial" w:cs="Arial"/>
          <w:kern w:val="2"/>
          <w:sz w:val="22"/>
          <w:szCs w:val="22"/>
          <w:lang w:eastAsia="en-US"/>
          <w14:ligatures w14:val="standardContextual"/>
        </w:rPr>
        <w:t xml:space="preserve"> wirnika. Obracający się wirnik przemieszcza medium do otworu wylotowego zaworu, skąd strumień sprężonego powietrza transportuje je do reaktora suchego.</w:t>
      </w:r>
    </w:p>
    <w:p w14:paraId="6DECD835" w14:textId="77777777" w:rsidR="009072F4" w:rsidRPr="009072F4" w:rsidRDefault="009072F4" w:rsidP="009072F4">
      <w:pPr>
        <w:spacing w:after="160" w:line="360"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Następnie łopatki wirnika ponownie podchodzą pod otwór wlotowy i przyjmują następną porcję medium. Cykl ten powtarza się nieustannie, aż do chwili wyłączenia napędu zaworu.</w:t>
      </w:r>
    </w:p>
    <w:p w14:paraId="322F4C63" w14:textId="77777777" w:rsidR="009072F4" w:rsidRPr="009072F4" w:rsidRDefault="009072F4" w:rsidP="009072F4">
      <w:p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b/>
          <w:bCs/>
          <w:kern w:val="2"/>
          <w:sz w:val="22"/>
          <w:szCs w:val="22"/>
          <w:lang w:eastAsia="en-US"/>
          <w14:ligatures w14:val="standardContextual"/>
        </w:rPr>
        <w:t>2. Zakres prac:</w:t>
      </w:r>
      <w:r w:rsidRPr="009072F4">
        <w:rPr>
          <w:rFonts w:ascii="Arial" w:eastAsiaTheme="minorHAnsi" w:hAnsi="Arial" w:cs="Arial"/>
          <w:kern w:val="2"/>
          <w:sz w:val="22"/>
          <w:szCs w:val="22"/>
          <w:lang w:eastAsia="en-US"/>
          <w14:ligatures w14:val="standardContextual"/>
        </w:rPr>
        <w:tab/>
        <w:t xml:space="preserve"> </w:t>
      </w:r>
    </w:p>
    <w:p w14:paraId="5B92316E"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Dostawę kompletnego układu dozowania wapna, obejmującego urządzenia o mocach zainstalowanych zbliżonych do parametrów obecnie eksploatowanego układu (zgodnie z Załącznikiem nr 1), wraz z lokalnym systemem sterowania odwzorowującym funkcjonalność istniejącego rozwiązania w układzie 1:1 (Sterowanie lokalne + sterowanie z systemu SCADA) Oferowany układ należy dobrać w sposób zapewniający, aby wydajność dozowania w zakresie 55–65 kg/h odpowiadała około 70% nominalnego zakresu roboczego urządzenia. Wykonanie niezbędnych prac przygotowawczych, w tym odłączenie elektryczne istniejącego układu,</w:t>
      </w:r>
    </w:p>
    <w:p w14:paraId="127F1D09"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Demontaż istniejącego podajnika obrotowego wapna wraz z instalacją do sterowania miejscowego (Załącznik nr 3),</w:t>
      </w:r>
    </w:p>
    <w:p w14:paraId="31898E1B"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Montaż nowego układu dozowania wapna wraz z instalacją do sterowania miejscowego wraz z  wykonaniem wszelkich niezbędnych prac mechanicznych, instalacyjnych i adaptacyjnych, umożliwiających jego prawidłową współpracę z istniejącą infrastrukturą zasilającą, sterującą (Sterowanie lokalne + sterowanie z systemu SCADA) i mechaniczną,</w:t>
      </w:r>
    </w:p>
    <w:p w14:paraId="051D5F41"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Wykonanie podłączeń elektrycznych, w tym podłączenie silników oraz pozostałych urządzeń wchodzących w skład układu podawania wapna,</w:t>
      </w:r>
    </w:p>
    <w:p w14:paraId="52DBF1FD"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Integrację układu z istniejącym systemem sterowania (Sterowanie lokalne + sterowanie z systemu SCADA),</w:t>
      </w:r>
    </w:p>
    <w:p w14:paraId="5ADF6BA6"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Uruchomienie technologiczne układu oraz przeprowadzenie prób funkcjonalnych i odbiorowych,</w:t>
      </w:r>
    </w:p>
    <w:p w14:paraId="483198FE" w14:textId="77777777" w:rsidR="009072F4" w:rsidRPr="009072F4" w:rsidRDefault="009072F4" w:rsidP="009072F4">
      <w:pPr>
        <w:numPr>
          <w:ilvl w:val="0"/>
          <w:numId w:val="1"/>
        </w:numPr>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Przeszkolenie pracowników z zakresu obsługi i eksploatacji urządzenia.</w:t>
      </w:r>
    </w:p>
    <w:p w14:paraId="0B176286" w14:textId="08BE5DAA" w:rsidR="009072F4" w:rsidRPr="009072F4" w:rsidRDefault="009072F4" w:rsidP="009072F4">
      <w:pPr>
        <w:spacing w:after="160" w:line="259" w:lineRule="auto"/>
        <w:ind w:left="720"/>
        <w:contextualSpacing/>
        <w:jc w:val="both"/>
        <w:rPr>
          <w:rFonts w:asciiTheme="minorHAnsi" w:hAnsiTheme="minorHAnsi"/>
          <w:b/>
          <w:bCs/>
          <w:kern w:val="2"/>
          <w:sz w:val="22"/>
          <w:szCs w:val="22"/>
          <w:lang w:eastAsia="en-US"/>
        </w:rPr>
      </w:pPr>
      <w:r w:rsidRPr="009072F4">
        <w:rPr>
          <w:rFonts w:asciiTheme="minorHAnsi" w:hAnsiTheme="minorHAnsi"/>
          <w:b/>
          <w:bCs/>
          <w:kern w:val="2"/>
          <w:sz w:val="22"/>
          <w:szCs w:val="22"/>
          <w:lang w:eastAsia="en-US"/>
        </w:rPr>
        <w:t xml:space="preserve">UWAGA: ze względu na specyfikę procesu technologicznego, wykonanie czynności w </w:t>
      </w:r>
      <w:proofErr w:type="spellStart"/>
      <w:r w:rsidRPr="009072F4">
        <w:rPr>
          <w:rFonts w:asciiTheme="minorHAnsi" w:hAnsiTheme="minorHAnsi"/>
          <w:b/>
          <w:bCs/>
          <w:kern w:val="2"/>
          <w:sz w:val="22"/>
          <w:szCs w:val="22"/>
          <w:lang w:eastAsia="en-US"/>
        </w:rPr>
        <w:t>ppkt</w:t>
      </w:r>
      <w:proofErr w:type="spellEnd"/>
      <w:r w:rsidRPr="009072F4">
        <w:rPr>
          <w:rFonts w:asciiTheme="minorHAnsi" w:hAnsiTheme="minorHAnsi"/>
          <w:b/>
          <w:bCs/>
          <w:kern w:val="2"/>
          <w:sz w:val="22"/>
          <w:szCs w:val="22"/>
          <w:lang w:eastAsia="en-US"/>
        </w:rPr>
        <w:t>. f) będzie możliwe do wykonania po zakończeniu pozostałych prac remontowych na ciągu technologicznym w trakcie rozruchu instalacji i jej normalnej pracy.</w:t>
      </w:r>
    </w:p>
    <w:p w14:paraId="1B2B6C6C"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lastRenderedPageBreak/>
        <w:t xml:space="preserve">3. </w:t>
      </w:r>
      <w:r w:rsidRPr="009072F4">
        <w:rPr>
          <w:rFonts w:ascii="Arial" w:eastAsiaTheme="minorHAnsi" w:hAnsi="Arial" w:cs="Arial"/>
          <w:b/>
          <w:kern w:val="2"/>
          <w:sz w:val="22"/>
          <w:szCs w:val="22"/>
          <w:lang w:eastAsia="en-US"/>
          <w14:ligatures w14:val="standardContextual"/>
        </w:rPr>
        <w:t>Obowiązki Wykonawcy:</w:t>
      </w:r>
    </w:p>
    <w:p w14:paraId="6BEB387C"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Wykonawca zobowiązuje się do ochrony mienia MWiK w Bydgoszczy znajdującego się na terenie realizacji prac przed uszkodzeniem lub zniszczeniem, a także do zapewnienia odpowiednich środków ochrony przeciwpożarowej zgodnie z obowiązującymi przepisami..</w:t>
      </w:r>
    </w:p>
    <w:p w14:paraId="39E2D14D"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Każdorazowe przybycie Wykonawcy na teren zakładu należy potwierdzić pisemnie w sterowni u mistrza ITPO.</w:t>
      </w:r>
    </w:p>
    <w:p w14:paraId="4D84524F"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 czasie realizacji robót Wykonawca zobowiązany jest do usuwania odpadów i śmieci związanych z realizacją zadania oraz ich utylizacji we własnym zakresie.</w:t>
      </w:r>
    </w:p>
    <w:p w14:paraId="68568AA5"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xml:space="preserve">Po zakończeniu robót Wykonawca zobowiązany jest do uporządkowania terenu, na którym były prowadzone prace i przekazania go </w:t>
      </w:r>
      <w:r w:rsidRPr="009072F4">
        <w:rPr>
          <w:rFonts w:ascii="Arial" w:eastAsiaTheme="minorHAnsi" w:hAnsi="Arial" w:cs="Arial"/>
          <w:bCs/>
          <w:kern w:val="2"/>
          <w:sz w:val="22"/>
          <w:szCs w:val="22"/>
          <w:lang w:eastAsia="en-US"/>
          <w14:ligatures w14:val="standardContextual"/>
        </w:rPr>
        <w:t>Zamawiaj</w:t>
      </w:r>
      <w:r w:rsidRPr="009072F4">
        <w:rPr>
          <w:rFonts w:ascii="Arial" w:eastAsiaTheme="minorHAnsi" w:hAnsi="Arial" w:cs="Arial"/>
          <w:kern w:val="2"/>
          <w:sz w:val="22"/>
          <w:szCs w:val="22"/>
          <w:lang w:eastAsia="en-US"/>
          <w14:ligatures w14:val="standardContextual"/>
        </w:rPr>
        <w:t>ą</w:t>
      </w:r>
      <w:r w:rsidRPr="009072F4">
        <w:rPr>
          <w:rFonts w:ascii="Arial" w:eastAsiaTheme="minorHAnsi" w:hAnsi="Arial" w:cs="Arial"/>
          <w:bCs/>
          <w:kern w:val="2"/>
          <w:sz w:val="22"/>
          <w:szCs w:val="22"/>
          <w:lang w:eastAsia="en-US"/>
          <w14:ligatures w14:val="standardContextual"/>
        </w:rPr>
        <w:t xml:space="preserve">cemu </w:t>
      </w:r>
      <w:r w:rsidRPr="009072F4">
        <w:rPr>
          <w:rFonts w:ascii="Arial" w:eastAsiaTheme="minorHAnsi" w:hAnsi="Arial" w:cs="Arial"/>
          <w:kern w:val="2"/>
          <w:sz w:val="22"/>
          <w:szCs w:val="22"/>
          <w:lang w:eastAsia="en-US"/>
          <w14:ligatures w14:val="standardContextual"/>
        </w:rPr>
        <w:t>w terminie ustalonym na odbiór robót w stanie nie gorszym niż zastał.</w:t>
      </w:r>
    </w:p>
    <w:p w14:paraId="5B11D600"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Wykonawca zobowiązuje się do niezwłocznego poinformowania Zamawiającego o wszelkich pracach lub częściach koniecznych do wykonania remontu, a niewchodzących w zakres przedmiotu zamówienia.</w:t>
      </w:r>
    </w:p>
    <w:p w14:paraId="564B93B8"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 przypadku wystąpienia konieczności realizacji robót dodatkowych, nieuwzględnionych w powyższym zakresie, zostaną one powierzone Wykonawcy na podstawie odrębnego zlecenia, po przedstawieniu przez Wykonawcę uzasadnienia technicznego konieczności ich wykonania, przy czym na etapie zawarcia umowy nie istniały przesłanki wskazujące na potrzebę ich realizacji.</w:t>
      </w:r>
    </w:p>
    <w:p w14:paraId="2C6ECBE4" w14:textId="77777777" w:rsid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Wykonawca  przeprowadzi prace związane z przedmiotem umowy od poniedziałku do piątku (w dni robocze) w godzinach 6.00 -18.00.</w:t>
      </w:r>
    </w:p>
    <w:p w14:paraId="5201AC4B" w14:textId="77777777" w:rsidR="00164A52" w:rsidRPr="00C35710" w:rsidRDefault="00164A52" w:rsidP="00164A52">
      <w:pPr>
        <w:numPr>
          <w:ilvl w:val="0"/>
          <w:numId w:val="2"/>
        </w:numPr>
        <w:autoSpaceDE w:val="0"/>
        <w:autoSpaceDN w:val="0"/>
        <w:adjustRightInd w:val="0"/>
        <w:spacing w:line="259" w:lineRule="auto"/>
        <w:jc w:val="both"/>
      </w:pPr>
      <w:r w:rsidRPr="00C35710">
        <w:t xml:space="preserve">Opracowanie raportu końcowego w jednej wersji papierowej oraz jednej wersji elektronicznej w postaci pliku PDF na nośniku typu „pendrive” USB 3.0, który powinien zawierać: </w:t>
      </w:r>
    </w:p>
    <w:p w14:paraId="253B8EBE" w14:textId="77777777" w:rsidR="00164A52" w:rsidRPr="00C35710" w:rsidRDefault="00164A52" w:rsidP="00164A52">
      <w:pPr>
        <w:autoSpaceDE w:val="0"/>
        <w:autoSpaceDN w:val="0"/>
        <w:adjustRightInd w:val="0"/>
        <w:ind w:left="720"/>
        <w:jc w:val="both"/>
      </w:pPr>
      <w:r w:rsidRPr="00C35710">
        <w:t>•</w:t>
      </w:r>
      <w:r w:rsidRPr="00C35710">
        <w:tab/>
        <w:t>Ocenę stanu technicznego przedmiotu zamówienia,</w:t>
      </w:r>
    </w:p>
    <w:p w14:paraId="78DFCC29" w14:textId="77777777" w:rsidR="00164A52" w:rsidRPr="00C35710" w:rsidRDefault="00164A52" w:rsidP="00164A52">
      <w:pPr>
        <w:autoSpaceDE w:val="0"/>
        <w:autoSpaceDN w:val="0"/>
        <w:adjustRightInd w:val="0"/>
        <w:ind w:left="720"/>
        <w:jc w:val="both"/>
      </w:pPr>
      <w:r w:rsidRPr="00C35710">
        <w:t>•</w:t>
      </w:r>
      <w:r w:rsidRPr="00C35710">
        <w:tab/>
        <w:t>Dokumentację powykonawczą zawierająca wykaz zrealizowanych prac remontowych, opis wykonanych czynności oraz dokumentację fotograficzną obrazującą poszczególne etapy realizacji i stan po zakończeniu robót.</w:t>
      </w:r>
    </w:p>
    <w:p w14:paraId="074A8CA1" w14:textId="04203B82" w:rsidR="00164A52" w:rsidRDefault="00164A52" w:rsidP="00164A52">
      <w:pPr>
        <w:autoSpaceDE w:val="0"/>
        <w:autoSpaceDN w:val="0"/>
        <w:adjustRightInd w:val="0"/>
        <w:ind w:left="720"/>
        <w:jc w:val="both"/>
      </w:pPr>
      <w:r w:rsidRPr="00C35710">
        <w:t>•</w:t>
      </w:r>
      <w:r w:rsidRPr="00C35710">
        <w:tab/>
        <w:t>Zalecenia odnośnie dalszej eksploatacji przedmiotu zamówienia.</w:t>
      </w:r>
    </w:p>
    <w:p w14:paraId="4AA692C5" w14:textId="77777777" w:rsidR="00164A52" w:rsidRPr="00164A52" w:rsidRDefault="00164A52" w:rsidP="00164A52">
      <w:pPr>
        <w:autoSpaceDE w:val="0"/>
        <w:autoSpaceDN w:val="0"/>
        <w:adjustRightInd w:val="0"/>
        <w:ind w:left="720"/>
        <w:jc w:val="both"/>
      </w:pPr>
    </w:p>
    <w:p w14:paraId="3190BFB2" w14:textId="77777777" w:rsidR="009072F4" w:rsidRPr="009072F4" w:rsidRDefault="009072F4" w:rsidP="009072F4">
      <w:pPr>
        <w:numPr>
          <w:ilvl w:val="0"/>
          <w:numId w:val="2"/>
        </w:numPr>
        <w:autoSpaceDE w:val="0"/>
        <w:autoSpaceDN w:val="0"/>
        <w:adjustRightInd w:val="0"/>
        <w:spacing w:after="160" w:line="259" w:lineRule="auto"/>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xml:space="preserve">Wykonawca przekaże Zamawiającemu wszystkie zużyte lub uszkodzone elementy, które zostały wymienione w ramach realizowanego zakresu prac, nie później niż w dniu odbioru końcowego. </w:t>
      </w:r>
    </w:p>
    <w:p w14:paraId="1916EFA6"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b/>
          <w:kern w:val="2"/>
          <w:sz w:val="22"/>
          <w:szCs w:val="22"/>
          <w:lang w:eastAsia="en-US"/>
          <w14:ligatures w14:val="standardContextual"/>
        </w:rPr>
      </w:pPr>
    </w:p>
    <w:p w14:paraId="1FF480EF"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t>4.  Zobowiązania zamawiającego:</w:t>
      </w:r>
    </w:p>
    <w:p w14:paraId="02030B33"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Zamawiający udostępni: przyłącze elektryczne 230/400V w celu dostarczenia energii elektrycznej, wózek widłowy o udźwigu 3,5 tony i długości wideł L=1,2m. Z uwagi na postój technologiczny i wykonywanie innych zadań przez obsługę ITPO, wózek widłowy będzie mógł być wykorzystywany tylko na niezbędny okres w celu załadunku i rozładunku.</w:t>
      </w:r>
    </w:p>
    <w:p w14:paraId="49D143BF"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Zamawiający udostępni Wykonawcy posiadaną dokumentację techniczną.</w:t>
      </w:r>
    </w:p>
    <w:p w14:paraId="7C20D445"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kern w:val="2"/>
          <w:sz w:val="22"/>
          <w:szCs w:val="22"/>
          <w:lang w:eastAsia="en-US"/>
          <w14:ligatures w14:val="standardContextual"/>
        </w:rPr>
      </w:pPr>
    </w:p>
    <w:p w14:paraId="127C62C4"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t>5. Gwarancje:</w:t>
      </w:r>
    </w:p>
    <w:p w14:paraId="48E5AAE1"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kern w:val="2"/>
          <w:sz w:val="22"/>
          <w:szCs w:val="22"/>
          <w:lang w:eastAsia="en-US"/>
          <w14:ligatures w14:val="standardContextual"/>
        </w:rPr>
        <w:t xml:space="preserve">Wykonawca udziela Zamawiającemu gwarancji na wykonaną pracę oraz zastosowane części na okres nie krótszy niż 12 miesięcy, liczony od daty podpisania </w:t>
      </w:r>
      <w:r w:rsidRPr="009072F4">
        <w:rPr>
          <w:rFonts w:ascii="Arial" w:eastAsiaTheme="minorHAnsi" w:hAnsi="Arial" w:cs="Arial"/>
          <w:kern w:val="2"/>
          <w:sz w:val="22"/>
          <w:szCs w:val="22"/>
          <w:lang w:eastAsia="en-US"/>
          <w14:ligatures w14:val="standardContextual"/>
        </w:rPr>
        <w:lastRenderedPageBreak/>
        <w:t>Protokołu Odbioru końcowego. W tym okresie Wykonawca zobowiązuje się do nieodpłatnego usunięcia wszelkich wad fizycznych i prawnych powstałych z przyczyn tkwiących w wykonanych pracach lub dostarczonych częściach. Gwarancja obejmuje również koszty robocizny, materiałów oraz dojazdu niezbędnych do przeprowadzenia napraw gwarancyjnych.</w:t>
      </w:r>
      <w:r w:rsidRPr="009072F4">
        <w:rPr>
          <w:rFonts w:ascii="Arial" w:eastAsiaTheme="minorHAnsi" w:hAnsi="Arial" w:cs="Arial"/>
          <w:b/>
          <w:kern w:val="2"/>
          <w:sz w:val="22"/>
          <w:szCs w:val="22"/>
          <w:lang w:eastAsia="en-US"/>
          <w14:ligatures w14:val="standardContextual"/>
        </w:rPr>
        <w:t xml:space="preserve"> </w:t>
      </w:r>
    </w:p>
    <w:p w14:paraId="2DD963FD" w14:textId="77777777" w:rsidR="009072F4" w:rsidRPr="009072F4" w:rsidRDefault="009072F4" w:rsidP="009072F4">
      <w:pPr>
        <w:autoSpaceDE w:val="0"/>
        <w:autoSpaceDN w:val="0"/>
        <w:adjustRightInd w:val="0"/>
        <w:spacing w:line="259" w:lineRule="auto"/>
        <w:ind w:firstLine="708"/>
        <w:jc w:val="both"/>
        <w:rPr>
          <w:rFonts w:ascii="Arial" w:eastAsiaTheme="minorHAnsi" w:hAnsi="Arial" w:cs="Arial"/>
          <w:kern w:val="2"/>
          <w:sz w:val="22"/>
          <w:szCs w:val="22"/>
          <w:lang w:eastAsia="en-US"/>
          <w14:ligatures w14:val="standardContextual"/>
        </w:rPr>
      </w:pPr>
    </w:p>
    <w:p w14:paraId="5DD40621"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t>6. Termin wykonania:</w:t>
      </w:r>
    </w:p>
    <w:p w14:paraId="7429CA39" w14:textId="62A01DC3" w:rsidR="009072F4" w:rsidRPr="009072F4" w:rsidRDefault="009072F4" w:rsidP="009072F4">
      <w:pPr>
        <w:spacing w:after="160" w:line="259" w:lineRule="auto"/>
        <w:jc w:val="both"/>
        <w:rPr>
          <w:rFonts w:ascii="Arial" w:eastAsiaTheme="minorHAnsi" w:hAnsi="Arial" w:cs="Arial"/>
          <w:bCs/>
          <w:kern w:val="2"/>
          <w:sz w:val="22"/>
          <w:szCs w:val="22"/>
          <w:lang w:eastAsia="en-US"/>
          <w14:ligatures w14:val="standardContextual"/>
        </w:rPr>
      </w:pPr>
      <w:r w:rsidRPr="009072F4">
        <w:rPr>
          <w:rFonts w:ascii="Arial" w:eastAsiaTheme="minorHAnsi" w:hAnsi="Arial" w:cs="Arial"/>
          <w:bCs/>
          <w:kern w:val="2"/>
          <w:sz w:val="22"/>
          <w:szCs w:val="22"/>
          <w:lang w:eastAsia="en-US"/>
          <w14:ligatures w14:val="standardContextual"/>
        </w:rPr>
        <w:t>Postój remontowy 1.09.2026-30.09.2026</w:t>
      </w:r>
    </w:p>
    <w:p w14:paraId="023FF00F"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69E932F5"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 .1</w:t>
      </w:r>
    </w:p>
    <w:p w14:paraId="3254D419"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drawing>
          <wp:inline distT="0" distB="0" distL="0" distR="0" wp14:anchorId="3167B29A" wp14:editId="723B81FA">
            <wp:extent cx="5446136" cy="4797188"/>
            <wp:effectExtent l="0" t="0" r="2540" b="3810"/>
            <wp:docPr id="3530640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64013" name=""/>
                    <pic:cNvPicPr/>
                  </pic:nvPicPr>
                  <pic:blipFill>
                    <a:blip r:embed="rId7"/>
                    <a:stretch>
                      <a:fillRect/>
                    </a:stretch>
                  </pic:blipFill>
                  <pic:spPr>
                    <a:xfrm>
                      <a:off x="0" y="0"/>
                      <a:ext cx="5460963" cy="4810248"/>
                    </a:xfrm>
                    <a:prstGeom prst="rect">
                      <a:avLst/>
                    </a:prstGeom>
                  </pic:spPr>
                </pic:pic>
              </a:graphicData>
            </a:graphic>
          </wp:inline>
        </w:drawing>
      </w:r>
    </w:p>
    <w:p w14:paraId="7B598D8F" w14:textId="77777777" w:rsidR="009072F4" w:rsidRPr="009072F4" w:rsidRDefault="009072F4" w:rsidP="009072F4">
      <w:pPr>
        <w:spacing w:after="160" w:line="259" w:lineRule="auto"/>
        <w:jc w:val="both"/>
        <w:rPr>
          <w:rFonts w:asciiTheme="minorHAnsi" w:eastAsiaTheme="minorHAnsi" w:hAnsiTheme="minorHAnsi" w:cstheme="minorBidi"/>
          <w:bCs/>
          <w:kern w:val="2"/>
          <w:sz w:val="22"/>
          <w:szCs w:val="22"/>
          <w:lang w:eastAsia="en-US"/>
          <w14:ligatures w14:val="standardContextual"/>
        </w:rPr>
      </w:pPr>
    </w:p>
    <w:p w14:paraId="359895EB" w14:textId="77777777" w:rsidR="009072F4" w:rsidRPr="009072F4" w:rsidRDefault="009072F4" w:rsidP="009072F4">
      <w:pPr>
        <w:spacing w:after="160" w:line="259" w:lineRule="auto"/>
        <w:jc w:val="both"/>
        <w:rPr>
          <w:rFonts w:asciiTheme="minorHAnsi" w:eastAsiaTheme="minorHAnsi" w:hAnsiTheme="minorHAnsi" w:cstheme="minorBidi"/>
          <w:bCs/>
          <w:kern w:val="2"/>
          <w:sz w:val="22"/>
          <w:szCs w:val="22"/>
          <w:lang w:eastAsia="en-US"/>
          <w14:ligatures w14:val="standardContextual"/>
        </w:rPr>
      </w:pPr>
      <w:r w:rsidRPr="009072F4">
        <w:rPr>
          <w:rFonts w:asciiTheme="minorHAnsi" w:eastAsiaTheme="minorHAnsi" w:hAnsiTheme="minorHAnsi" w:cstheme="minorBidi"/>
          <w:noProof/>
          <w:kern w:val="2"/>
          <w14:ligatures w14:val="standardContextual"/>
        </w:rPr>
        <w:lastRenderedPageBreak/>
        <w:drawing>
          <wp:inline distT="0" distB="0" distL="0" distR="0" wp14:anchorId="6FF65153" wp14:editId="579AC095">
            <wp:extent cx="5760720" cy="8481060"/>
            <wp:effectExtent l="0" t="0" r="0" b="0"/>
            <wp:docPr id="31465041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l="43791" t="17497" r="42744" b="12552"/>
                    <a:stretch>
                      <a:fillRect/>
                    </a:stretch>
                  </pic:blipFill>
                  <pic:spPr bwMode="auto">
                    <a:xfrm>
                      <a:off x="0" y="0"/>
                      <a:ext cx="5760720" cy="8481060"/>
                    </a:xfrm>
                    <a:prstGeom prst="rect">
                      <a:avLst/>
                    </a:prstGeom>
                    <a:noFill/>
                    <a:ln>
                      <a:noFill/>
                    </a:ln>
                  </pic:spPr>
                </pic:pic>
              </a:graphicData>
            </a:graphic>
          </wp:inline>
        </w:drawing>
      </w:r>
    </w:p>
    <w:p w14:paraId="39BC32A9"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lastRenderedPageBreak/>
        <w:drawing>
          <wp:inline distT="0" distB="0" distL="0" distR="0" wp14:anchorId="66DAEF77" wp14:editId="7821922D">
            <wp:extent cx="5760720" cy="4064000"/>
            <wp:effectExtent l="0" t="0" r="0" b="0"/>
            <wp:docPr id="21452338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927706" name=""/>
                    <pic:cNvPicPr/>
                  </pic:nvPicPr>
                  <pic:blipFill>
                    <a:blip r:embed="rId9"/>
                    <a:stretch>
                      <a:fillRect/>
                    </a:stretch>
                  </pic:blipFill>
                  <pic:spPr>
                    <a:xfrm>
                      <a:off x="0" y="0"/>
                      <a:ext cx="5760720" cy="4064000"/>
                    </a:xfrm>
                    <a:prstGeom prst="rect">
                      <a:avLst/>
                    </a:prstGeom>
                  </pic:spPr>
                </pic:pic>
              </a:graphicData>
            </a:graphic>
          </wp:inline>
        </w:drawing>
      </w:r>
    </w:p>
    <w:p w14:paraId="03F0528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 .2</w:t>
      </w:r>
    </w:p>
    <w:p w14:paraId="359A529E"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drawing>
          <wp:inline distT="0" distB="0" distL="0" distR="0" wp14:anchorId="3AF1C268" wp14:editId="67BBE592">
            <wp:extent cx="5760720" cy="4064000"/>
            <wp:effectExtent l="0" t="0" r="0" b="0"/>
            <wp:docPr id="5069277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927706" name=""/>
                    <pic:cNvPicPr/>
                  </pic:nvPicPr>
                  <pic:blipFill>
                    <a:blip r:embed="rId9"/>
                    <a:stretch>
                      <a:fillRect/>
                    </a:stretch>
                  </pic:blipFill>
                  <pic:spPr>
                    <a:xfrm>
                      <a:off x="0" y="0"/>
                      <a:ext cx="5760720" cy="4064000"/>
                    </a:xfrm>
                    <a:prstGeom prst="rect">
                      <a:avLst/>
                    </a:prstGeom>
                  </pic:spPr>
                </pic:pic>
              </a:graphicData>
            </a:graphic>
          </wp:inline>
        </w:drawing>
      </w:r>
    </w:p>
    <w:p w14:paraId="7C6047DE"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14B21300"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0E8FAA8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 .3</w:t>
      </w:r>
    </w:p>
    <w:p w14:paraId="388D3051" w14:textId="77777777" w:rsidR="009072F4" w:rsidRPr="009072F4" w:rsidRDefault="009072F4" w:rsidP="009072F4">
      <w:pPr>
        <w:spacing w:after="160" w:line="259" w:lineRule="auto"/>
        <w:jc w:val="both"/>
        <w:rPr>
          <w:rFonts w:asciiTheme="minorHAnsi" w:eastAsiaTheme="minorHAnsi" w:hAnsiTheme="minorHAnsi" w:cstheme="minorBidi"/>
          <w:bCs/>
          <w:kern w:val="2"/>
          <w:sz w:val="22"/>
          <w:szCs w:val="22"/>
          <w:lang w:eastAsia="en-US"/>
          <w14:ligatures w14:val="standardContextual"/>
        </w:rPr>
      </w:pPr>
      <w:r w:rsidRPr="009072F4">
        <w:rPr>
          <w:rFonts w:asciiTheme="minorHAnsi" w:eastAsiaTheme="minorHAnsi" w:hAnsiTheme="minorHAnsi" w:cstheme="minorBidi"/>
          <w:noProof/>
          <w:kern w:val="2"/>
          <w:sz w:val="22"/>
          <w:szCs w:val="22"/>
          <w14:ligatures w14:val="standardContextual"/>
        </w:rPr>
        <w:drawing>
          <wp:inline distT="0" distB="0" distL="0" distR="0" wp14:anchorId="2E63116B" wp14:editId="29A0079F">
            <wp:extent cx="5760720" cy="2544420"/>
            <wp:effectExtent l="0" t="0" r="0" b="8890"/>
            <wp:docPr id="16249610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61052" name=""/>
                    <pic:cNvPicPr/>
                  </pic:nvPicPr>
                  <pic:blipFill rotWithShape="1">
                    <a:blip r:embed="rId10"/>
                    <a:srcRect t="7203"/>
                    <a:stretch>
                      <a:fillRect/>
                    </a:stretch>
                  </pic:blipFill>
                  <pic:spPr bwMode="auto">
                    <a:xfrm>
                      <a:off x="0" y="0"/>
                      <a:ext cx="5760720" cy="2544420"/>
                    </a:xfrm>
                    <a:prstGeom prst="rect">
                      <a:avLst/>
                    </a:prstGeom>
                    <a:ln>
                      <a:noFill/>
                    </a:ln>
                    <a:extLst>
                      <a:ext uri="{53640926-AAD7-44D8-BBD7-CCE9431645EC}">
                        <a14:shadowObscured xmlns:a14="http://schemas.microsoft.com/office/drawing/2010/main"/>
                      </a:ext>
                    </a:extLst>
                  </pic:spPr>
                </pic:pic>
              </a:graphicData>
            </a:graphic>
          </wp:inline>
        </w:drawing>
      </w:r>
    </w:p>
    <w:p w14:paraId="1B836D4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1C039B61"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516C8B4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4C277DEE"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Załącznik.4</w:t>
      </w:r>
    </w:p>
    <w:p w14:paraId="2216DF37"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drawing>
          <wp:inline distT="0" distB="0" distL="0" distR="0" wp14:anchorId="7B5118C1" wp14:editId="712F9494">
            <wp:extent cx="5752465" cy="3241040"/>
            <wp:effectExtent l="0" t="0" r="635" b="0"/>
            <wp:docPr id="7549537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2465" cy="3241040"/>
                    </a:xfrm>
                    <a:prstGeom prst="rect">
                      <a:avLst/>
                    </a:prstGeom>
                    <a:noFill/>
                    <a:ln>
                      <a:noFill/>
                    </a:ln>
                  </pic:spPr>
                </pic:pic>
              </a:graphicData>
            </a:graphic>
          </wp:inline>
        </w:drawing>
      </w:r>
    </w:p>
    <w:p w14:paraId="627E0CF5"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lastRenderedPageBreak/>
        <w:drawing>
          <wp:inline distT="0" distB="0" distL="0" distR="0" wp14:anchorId="4963E455" wp14:editId="183B6061">
            <wp:extent cx="5760720" cy="2544445"/>
            <wp:effectExtent l="0" t="0" r="0" b="8255"/>
            <wp:docPr id="21225959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595933" name=""/>
                    <pic:cNvPicPr/>
                  </pic:nvPicPr>
                  <pic:blipFill>
                    <a:blip r:embed="rId12"/>
                    <a:stretch>
                      <a:fillRect/>
                    </a:stretch>
                  </pic:blipFill>
                  <pic:spPr>
                    <a:xfrm>
                      <a:off x="0" y="0"/>
                      <a:ext cx="5760720" cy="2544445"/>
                    </a:xfrm>
                    <a:prstGeom prst="rect">
                      <a:avLst/>
                    </a:prstGeom>
                  </pic:spPr>
                </pic:pic>
              </a:graphicData>
            </a:graphic>
          </wp:inline>
        </w:drawing>
      </w:r>
    </w:p>
    <w:p w14:paraId="18C3F3E4"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kern w:val="2"/>
          <w:sz w:val="22"/>
          <w:szCs w:val="22"/>
          <w:lang w:eastAsia="en-US"/>
          <w14:ligatures w14:val="standardContextual"/>
        </w:rPr>
        <w:t>Załącznik 5</w:t>
      </w:r>
    </w:p>
    <w:p w14:paraId="30701FFC"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r w:rsidRPr="009072F4">
        <w:rPr>
          <w:rFonts w:asciiTheme="minorHAnsi" w:eastAsiaTheme="minorHAnsi" w:hAnsiTheme="minorHAnsi" w:cstheme="minorBidi"/>
          <w:b/>
          <w:noProof/>
          <w:kern w:val="2"/>
          <w:sz w:val="22"/>
          <w:szCs w:val="22"/>
          <w14:ligatures w14:val="standardContextual"/>
        </w:rPr>
        <w:drawing>
          <wp:inline distT="0" distB="0" distL="0" distR="0" wp14:anchorId="38ED385D" wp14:editId="7F981A6D">
            <wp:extent cx="3029373" cy="4182059"/>
            <wp:effectExtent l="0" t="0" r="0" b="9525"/>
            <wp:docPr id="20536283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628386" name=""/>
                    <pic:cNvPicPr/>
                  </pic:nvPicPr>
                  <pic:blipFill>
                    <a:blip r:embed="rId13"/>
                    <a:stretch>
                      <a:fillRect/>
                    </a:stretch>
                  </pic:blipFill>
                  <pic:spPr>
                    <a:xfrm>
                      <a:off x="0" y="0"/>
                      <a:ext cx="3029373" cy="4182059"/>
                    </a:xfrm>
                    <a:prstGeom prst="rect">
                      <a:avLst/>
                    </a:prstGeom>
                  </pic:spPr>
                </pic:pic>
              </a:graphicData>
            </a:graphic>
          </wp:inline>
        </w:drawing>
      </w:r>
    </w:p>
    <w:p w14:paraId="5887DC30"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6F170EE0"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62A2A7BA"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15096A42"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253E17BB"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5A212BC9" w14:textId="77777777" w:rsidR="009072F4" w:rsidRPr="009072F4" w:rsidRDefault="009072F4" w:rsidP="009072F4">
      <w:pPr>
        <w:spacing w:after="160" w:line="259" w:lineRule="auto"/>
        <w:jc w:val="both"/>
        <w:rPr>
          <w:rFonts w:asciiTheme="minorHAnsi" w:eastAsiaTheme="minorHAnsi" w:hAnsiTheme="minorHAnsi" w:cstheme="minorBidi"/>
          <w:b/>
          <w:kern w:val="2"/>
          <w:sz w:val="22"/>
          <w:szCs w:val="22"/>
          <w:lang w:eastAsia="en-US"/>
          <w14:ligatures w14:val="standardContextual"/>
        </w:rPr>
      </w:pPr>
    </w:p>
    <w:p w14:paraId="4599A977" w14:textId="77777777" w:rsidR="009072F4" w:rsidRPr="009072F4" w:rsidRDefault="009072F4" w:rsidP="009072F4">
      <w:pPr>
        <w:spacing w:after="160" w:line="259" w:lineRule="auto"/>
        <w:jc w:val="both"/>
        <w:rPr>
          <w:rFonts w:ascii="Arial" w:eastAsiaTheme="minorHAnsi" w:hAnsi="Arial" w:cs="Arial"/>
          <w:b/>
          <w:kern w:val="2"/>
          <w:sz w:val="22"/>
          <w:szCs w:val="22"/>
          <w:lang w:eastAsia="en-US"/>
          <w14:ligatures w14:val="standardContextual"/>
        </w:rPr>
      </w:pPr>
      <w:r w:rsidRPr="009072F4">
        <w:rPr>
          <w:rFonts w:ascii="Arial" w:eastAsiaTheme="minorHAnsi" w:hAnsi="Arial" w:cs="Arial"/>
          <w:b/>
          <w:kern w:val="2"/>
          <w:sz w:val="22"/>
          <w:szCs w:val="22"/>
          <w:lang w:eastAsia="en-US"/>
          <w14:ligatures w14:val="standardContextual"/>
        </w:rPr>
        <w:lastRenderedPageBreak/>
        <w:t>Załącznik 6</w:t>
      </w:r>
    </w:p>
    <w:p w14:paraId="33072634" w14:textId="77777777" w:rsidR="009072F4" w:rsidRPr="009072F4" w:rsidRDefault="009072F4" w:rsidP="009072F4">
      <w:pPr>
        <w:spacing w:after="120"/>
        <w:ind w:left="738" w:hanging="454"/>
        <w:jc w:val="both"/>
        <w:outlineLvl w:val="1"/>
        <w:rPr>
          <w:rFonts w:ascii="Arial" w:hAnsi="Arial" w:cs="Arial"/>
          <w:b/>
          <w:sz w:val="22"/>
          <w:szCs w:val="22"/>
        </w:rPr>
      </w:pPr>
      <w:bookmarkStart w:id="1" w:name="_Toc134455901"/>
      <w:r w:rsidRPr="009072F4">
        <w:rPr>
          <w:rFonts w:ascii="Arial" w:hAnsi="Arial" w:cs="Arial"/>
          <w:b/>
          <w:sz w:val="22"/>
          <w:szCs w:val="22"/>
        </w:rPr>
        <w:t>Wapno hydratyzowane</w:t>
      </w:r>
      <w:bookmarkEnd w:id="1"/>
      <w:r w:rsidRPr="009072F4">
        <w:rPr>
          <w:rFonts w:ascii="Arial" w:hAnsi="Arial" w:cs="Arial"/>
          <w:b/>
          <w:sz w:val="22"/>
          <w:szCs w:val="22"/>
        </w:rPr>
        <w:t xml:space="preserve"> </w:t>
      </w:r>
    </w:p>
    <w:p w14:paraId="345168EA"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Stosowane do neutralizacji kwaśnych gazów w procesie oczyszczania spalin.</w:t>
      </w:r>
    </w:p>
    <w:p w14:paraId="3232B28C"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Wapno hydratyzowane - wodorotlenek wapnia Ca(OH) 2 jest otrzymywany poprzez połączenie wapna palonego [</w:t>
      </w:r>
      <w:proofErr w:type="spellStart"/>
      <w:r w:rsidRPr="009072F4">
        <w:rPr>
          <w:rFonts w:ascii="Arial" w:hAnsi="Arial" w:cs="Arial"/>
          <w:sz w:val="22"/>
          <w:szCs w:val="22"/>
        </w:rPr>
        <w:t>CaO</w:t>
      </w:r>
      <w:proofErr w:type="spellEnd"/>
      <w:r w:rsidRPr="009072F4">
        <w:rPr>
          <w:rFonts w:ascii="Arial" w:hAnsi="Arial" w:cs="Arial"/>
          <w:sz w:val="22"/>
          <w:szCs w:val="22"/>
        </w:rPr>
        <w:t>] z wodą [H 2 O]. Używany preparat to wapno hydratyzowane – nazwa handlowa: SORBACAL</w:t>
      </w:r>
    </w:p>
    <w:p w14:paraId="5DF88105" w14:textId="77777777" w:rsidR="009072F4" w:rsidRPr="009072F4" w:rsidRDefault="009072F4" w:rsidP="009072F4">
      <w:pPr>
        <w:ind w:left="397"/>
        <w:jc w:val="both"/>
        <w:rPr>
          <w:rFonts w:ascii="Arial" w:hAnsi="Arial" w:cs="Arial"/>
          <w:sz w:val="22"/>
          <w:szCs w:val="22"/>
        </w:rPr>
      </w:pPr>
    </w:p>
    <w:p w14:paraId="217A86B1"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Pojemność zbiornika magazynującego wynosi 20 m 3 .</w:t>
      </w:r>
    </w:p>
    <w:p w14:paraId="748E0106"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Zużycie wapna hydratyzowanego: 40-50 kg/h.</w:t>
      </w:r>
    </w:p>
    <w:p w14:paraId="06CA4363"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Wybrane właściwości fizyczne i chemiczne:</w:t>
      </w:r>
    </w:p>
    <w:p w14:paraId="1887D85A"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wygląd – biały proszek</w:t>
      </w:r>
    </w:p>
    <w:p w14:paraId="2E83AEB1"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zawartość wodorotlenku wapnia [ Ca(OH) 2 ] ≥ 91%</w:t>
      </w:r>
    </w:p>
    <w:p w14:paraId="0CD18669"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xml:space="preserve">- zawartość tlenku wapnia [ </w:t>
      </w:r>
      <w:proofErr w:type="spellStart"/>
      <w:r w:rsidRPr="009072F4">
        <w:rPr>
          <w:rFonts w:ascii="Arial" w:hAnsi="Arial" w:cs="Arial"/>
          <w:sz w:val="22"/>
          <w:szCs w:val="22"/>
        </w:rPr>
        <w:t>CaO</w:t>
      </w:r>
      <w:proofErr w:type="spellEnd"/>
      <w:r w:rsidRPr="009072F4">
        <w:rPr>
          <w:rFonts w:ascii="Arial" w:hAnsi="Arial" w:cs="Arial"/>
          <w:sz w:val="22"/>
          <w:szCs w:val="22"/>
        </w:rPr>
        <w:t xml:space="preserve"> ] ≥ 70 %</w:t>
      </w:r>
    </w:p>
    <w:p w14:paraId="5D1E0FE8"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zawartość wilgoci ≤ 1%</w:t>
      </w:r>
    </w:p>
    <w:p w14:paraId="65552619"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powierzchnia właściwa 40 m 2 /g</w:t>
      </w:r>
    </w:p>
    <w:p w14:paraId="0EA37FBA" w14:textId="77777777" w:rsidR="009072F4" w:rsidRPr="009072F4" w:rsidRDefault="009072F4" w:rsidP="009072F4">
      <w:pPr>
        <w:ind w:left="397"/>
        <w:jc w:val="both"/>
        <w:rPr>
          <w:rFonts w:ascii="Arial" w:hAnsi="Arial" w:cs="Arial"/>
          <w:sz w:val="22"/>
          <w:szCs w:val="22"/>
        </w:rPr>
      </w:pPr>
      <w:r w:rsidRPr="009072F4">
        <w:rPr>
          <w:rFonts w:ascii="Arial" w:hAnsi="Arial" w:cs="Arial"/>
          <w:sz w:val="22"/>
          <w:szCs w:val="22"/>
        </w:rPr>
        <w:t>- pozostałość na sicie o boku oczka 0,032 mm ≤ 45%</w:t>
      </w:r>
    </w:p>
    <w:p w14:paraId="64751438" w14:textId="77777777" w:rsidR="00361D89" w:rsidRDefault="00361D89"/>
    <w:sectPr w:rsidR="00361D89">
      <w:head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A03F01" w14:textId="77777777" w:rsidR="0084400B" w:rsidRDefault="0084400B" w:rsidP="00954ADA">
      <w:r>
        <w:separator/>
      </w:r>
    </w:p>
  </w:endnote>
  <w:endnote w:type="continuationSeparator" w:id="0">
    <w:p w14:paraId="30948C03" w14:textId="77777777" w:rsidR="0084400B" w:rsidRDefault="0084400B" w:rsidP="00954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74DCF4" w14:textId="77777777" w:rsidR="0084400B" w:rsidRDefault="0084400B" w:rsidP="00954ADA">
      <w:r>
        <w:separator/>
      </w:r>
    </w:p>
  </w:footnote>
  <w:footnote w:type="continuationSeparator" w:id="0">
    <w:p w14:paraId="5780E8FA" w14:textId="77777777" w:rsidR="0084400B" w:rsidRDefault="0084400B" w:rsidP="00954A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4BE76" w14:textId="2BFE4130" w:rsidR="00954ADA" w:rsidRPr="00A30FB3" w:rsidRDefault="00954ADA" w:rsidP="00954ADA">
    <w:pPr>
      <w:pStyle w:val="Nagwek"/>
      <w:pBdr>
        <w:bottom w:val="single" w:sz="12" w:space="7" w:color="auto"/>
      </w:pBdr>
      <w:jc w:val="both"/>
      <w:rPr>
        <w:rFonts w:ascii="Arial" w:hAnsi="Arial"/>
        <w:sz w:val="16"/>
        <w:szCs w:val="16"/>
      </w:rPr>
    </w:pPr>
    <w:r w:rsidRPr="00A30FB3">
      <w:rPr>
        <w:rFonts w:ascii="Arial" w:hAnsi="Arial"/>
        <w:sz w:val="16"/>
        <w:szCs w:val="16"/>
      </w:rPr>
      <w:t>Z</w:t>
    </w:r>
    <w:r>
      <w:rPr>
        <w:rFonts w:ascii="Arial" w:hAnsi="Arial"/>
        <w:sz w:val="16"/>
        <w:szCs w:val="16"/>
      </w:rPr>
      <w:t>-1</w:t>
    </w:r>
    <w:r w:rsidR="00F8782C">
      <w:rPr>
        <w:rFonts w:ascii="Arial" w:hAnsi="Arial"/>
        <w:sz w:val="16"/>
        <w:szCs w:val="16"/>
      </w:rPr>
      <w:t>80</w:t>
    </w:r>
    <w:r w:rsidRPr="00A30FB3">
      <w:rPr>
        <w:rFonts w:ascii="Arial" w:hAnsi="Arial"/>
        <w:sz w:val="16"/>
        <w:szCs w:val="16"/>
      </w:rPr>
      <w:t>/D/RZ/202</w:t>
    </w:r>
    <w:r>
      <w:rPr>
        <w:rFonts w:ascii="Arial" w:hAnsi="Arial"/>
        <w:sz w:val="16"/>
        <w:szCs w:val="16"/>
      </w:rPr>
      <w:t>6</w:t>
    </w:r>
    <w:r w:rsidRPr="00A30FB3">
      <w:rPr>
        <w:rFonts w:ascii="Arial" w:hAnsi="Arial"/>
        <w:sz w:val="16"/>
        <w:szCs w:val="16"/>
      </w:rPr>
      <w:t xml:space="preserve"> –</w:t>
    </w:r>
    <w:r>
      <w:rPr>
        <w:rFonts w:ascii="Arial" w:hAnsi="Arial"/>
        <w:sz w:val="16"/>
        <w:szCs w:val="16"/>
      </w:rPr>
      <w:t>„Modernizacja układu podawania wapna do reaktora suchego”</w:t>
    </w:r>
  </w:p>
  <w:p w14:paraId="04057154" w14:textId="77777777" w:rsidR="00954ADA" w:rsidRDefault="00954AD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DA164A8"/>
    <w:multiLevelType w:val="hybridMultilevel"/>
    <w:tmpl w:val="A45E28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7F8552A9"/>
    <w:multiLevelType w:val="hybridMultilevel"/>
    <w:tmpl w:val="FFFFFFFF"/>
    <w:lvl w:ilvl="0" w:tplc="F41A4C60">
      <w:start w:val="1"/>
      <w:numFmt w:val="lowerLetter"/>
      <w:lvlText w:val="%1)"/>
      <w:lvlJc w:val="left"/>
      <w:pPr>
        <w:ind w:left="720" w:hanging="360"/>
      </w:pPr>
      <w:rPr>
        <w:rFonts w:cs="Times New Roman"/>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16cid:durableId="1816681808">
    <w:abstractNumId w:val="1"/>
  </w:num>
  <w:num w:numId="2" w16cid:durableId="472650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54ADA"/>
    <w:rsid w:val="00164A52"/>
    <w:rsid w:val="00243B53"/>
    <w:rsid w:val="00361D89"/>
    <w:rsid w:val="0041283D"/>
    <w:rsid w:val="00454BE4"/>
    <w:rsid w:val="006A5EE0"/>
    <w:rsid w:val="0084400B"/>
    <w:rsid w:val="009072F4"/>
    <w:rsid w:val="00954ADA"/>
    <w:rsid w:val="0096387E"/>
    <w:rsid w:val="00A269E5"/>
    <w:rsid w:val="00A30DE8"/>
    <w:rsid w:val="00C26207"/>
    <w:rsid w:val="00C93CC3"/>
    <w:rsid w:val="00CC4C07"/>
    <w:rsid w:val="00F340C3"/>
    <w:rsid w:val="00F4525C"/>
    <w:rsid w:val="00F85D14"/>
    <w:rsid w:val="00F8782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6027A0"/>
  <w15:docId w15:val="{2868F22D-5238-44B1-889B-CDD3375B8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54ADA"/>
    <w:pPr>
      <w:spacing w:after="0" w:line="240" w:lineRule="auto"/>
    </w:pPr>
    <w:rPr>
      <w:rFonts w:ascii="Times New Roman" w:eastAsia="Times New Roman" w:hAnsi="Times New Roman" w:cs="Times New Roman"/>
      <w:kern w:val="0"/>
      <w:lang w:eastAsia="pl-PL"/>
      <w14:ligatures w14:val="none"/>
    </w:rPr>
  </w:style>
  <w:style w:type="paragraph" w:styleId="Nagwek1">
    <w:name w:val="heading 1"/>
    <w:basedOn w:val="Normalny"/>
    <w:next w:val="Normalny"/>
    <w:link w:val="Nagwek1Znak"/>
    <w:uiPriority w:val="9"/>
    <w:qFormat/>
    <w:rsid w:val="00954ADA"/>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lang w:eastAsia="en-US"/>
      <w14:ligatures w14:val="standardContextual"/>
    </w:rPr>
  </w:style>
  <w:style w:type="paragraph" w:styleId="Nagwek2">
    <w:name w:val="heading 2"/>
    <w:basedOn w:val="Normalny"/>
    <w:next w:val="Normalny"/>
    <w:link w:val="Nagwek2Znak"/>
    <w:uiPriority w:val="9"/>
    <w:semiHidden/>
    <w:unhideWhenUsed/>
    <w:qFormat/>
    <w:rsid w:val="00954ADA"/>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lang w:eastAsia="en-US"/>
      <w14:ligatures w14:val="standardContextual"/>
    </w:rPr>
  </w:style>
  <w:style w:type="paragraph" w:styleId="Nagwek3">
    <w:name w:val="heading 3"/>
    <w:basedOn w:val="Normalny"/>
    <w:next w:val="Normalny"/>
    <w:link w:val="Nagwek3Znak"/>
    <w:uiPriority w:val="9"/>
    <w:semiHidden/>
    <w:unhideWhenUsed/>
    <w:qFormat/>
    <w:rsid w:val="00954ADA"/>
    <w:pPr>
      <w:keepNext/>
      <w:keepLines/>
      <w:spacing w:before="160" w:after="80" w:line="278" w:lineRule="auto"/>
      <w:outlineLvl w:val="2"/>
    </w:pPr>
    <w:rPr>
      <w:rFonts w:asciiTheme="minorHAnsi" w:eastAsiaTheme="majorEastAsia" w:hAnsiTheme="minorHAnsi" w:cstheme="majorBidi"/>
      <w:color w:val="2F5496" w:themeColor="accent1" w:themeShade="BF"/>
      <w:kern w:val="2"/>
      <w:sz w:val="28"/>
      <w:szCs w:val="28"/>
      <w:lang w:eastAsia="en-US"/>
      <w14:ligatures w14:val="standardContextual"/>
    </w:rPr>
  </w:style>
  <w:style w:type="paragraph" w:styleId="Nagwek4">
    <w:name w:val="heading 4"/>
    <w:basedOn w:val="Normalny"/>
    <w:next w:val="Normalny"/>
    <w:link w:val="Nagwek4Znak"/>
    <w:uiPriority w:val="9"/>
    <w:semiHidden/>
    <w:unhideWhenUsed/>
    <w:qFormat/>
    <w:rsid w:val="00954ADA"/>
    <w:pPr>
      <w:keepNext/>
      <w:keepLines/>
      <w:spacing w:before="80" w:after="40" w:line="278" w:lineRule="auto"/>
      <w:outlineLvl w:val="3"/>
    </w:pPr>
    <w:rPr>
      <w:rFonts w:asciiTheme="minorHAnsi" w:eastAsiaTheme="majorEastAsia" w:hAnsiTheme="minorHAnsi" w:cstheme="majorBidi"/>
      <w:i/>
      <w:iCs/>
      <w:color w:val="2F5496" w:themeColor="accent1" w:themeShade="BF"/>
      <w:kern w:val="2"/>
      <w:lang w:eastAsia="en-US"/>
      <w14:ligatures w14:val="standardContextual"/>
    </w:rPr>
  </w:style>
  <w:style w:type="paragraph" w:styleId="Nagwek5">
    <w:name w:val="heading 5"/>
    <w:basedOn w:val="Normalny"/>
    <w:next w:val="Normalny"/>
    <w:link w:val="Nagwek5Znak"/>
    <w:uiPriority w:val="9"/>
    <w:semiHidden/>
    <w:unhideWhenUsed/>
    <w:qFormat/>
    <w:rsid w:val="00954ADA"/>
    <w:pPr>
      <w:keepNext/>
      <w:keepLines/>
      <w:spacing w:before="80" w:after="40" w:line="278" w:lineRule="auto"/>
      <w:outlineLvl w:val="4"/>
    </w:pPr>
    <w:rPr>
      <w:rFonts w:asciiTheme="minorHAnsi" w:eastAsiaTheme="majorEastAsia" w:hAnsiTheme="minorHAnsi" w:cstheme="majorBidi"/>
      <w:color w:val="2F5496" w:themeColor="accent1" w:themeShade="BF"/>
      <w:kern w:val="2"/>
      <w:lang w:eastAsia="en-US"/>
      <w14:ligatures w14:val="standardContextual"/>
    </w:rPr>
  </w:style>
  <w:style w:type="paragraph" w:styleId="Nagwek6">
    <w:name w:val="heading 6"/>
    <w:basedOn w:val="Normalny"/>
    <w:next w:val="Normalny"/>
    <w:link w:val="Nagwek6Znak"/>
    <w:uiPriority w:val="9"/>
    <w:semiHidden/>
    <w:unhideWhenUsed/>
    <w:qFormat/>
    <w:rsid w:val="00954ADA"/>
    <w:pPr>
      <w:keepNext/>
      <w:keepLines/>
      <w:spacing w:before="40" w:line="278" w:lineRule="auto"/>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Nagwek7">
    <w:name w:val="heading 7"/>
    <w:basedOn w:val="Normalny"/>
    <w:next w:val="Normalny"/>
    <w:link w:val="Nagwek7Znak"/>
    <w:uiPriority w:val="9"/>
    <w:semiHidden/>
    <w:unhideWhenUsed/>
    <w:qFormat/>
    <w:rsid w:val="00954ADA"/>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Nagwek8">
    <w:name w:val="heading 8"/>
    <w:basedOn w:val="Normalny"/>
    <w:next w:val="Normalny"/>
    <w:link w:val="Nagwek8Znak"/>
    <w:uiPriority w:val="9"/>
    <w:semiHidden/>
    <w:unhideWhenUsed/>
    <w:qFormat/>
    <w:rsid w:val="00954ADA"/>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Nagwek9">
    <w:name w:val="heading 9"/>
    <w:basedOn w:val="Normalny"/>
    <w:next w:val="Normalny"/>
    <w:link w:val="Nagwek9Znak"/>
    <w:uiPriority w:val="9"/>
    <w:semiHidden/>
    <w:unhideWhenUsed/>
    <w:qFormat/>
    <w:rsid w:val="00954ADA"/>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954ADA"/>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954ADA"/>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954ADA"/>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954ADA"/>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954ADA"/>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954ADA"/>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954ADA"/>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954ADA"/>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954ADA"/>
    <w:rPr>
      <w:rFonts w:eastAsiaTheme="majorEastAsia" w:cstheme="majorBidi"/>
      <w:color w:val="272727" w:themeColor="text1" w:themeTint="D8"/>
    </w:rPr>
  </w:style>
  <w:style w:type="paragraph" w:styleId="Tytu">
    <w:name w:val="Title"/>
    <w:basedOn w:val="Normalny"/>
    <w:next w:val="Normalny"/>
    <w:link w:val="TytuZnak"/>
    <w:uiPriority w:val="10"/>
    <w:qFormat/>
    <w:rsid w:val="00954ADA"/>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ytuZnak">
    <w:name w:val="Tytuł Znak"/>
    <w:basedOn w:val="Domylnaczcionkaakapitu"/>
    <w:link w:val="Tytu"/>
    <w:uiPriority w:val="10"/>
    <w:rsid w:val="00954ADA"/>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954ADA"/>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PodtytuZnak">
    <w:name w:val="Podtytuł Znak"/>
    <w:basedOn w:val="Domylnaczcionkaakapitu"/>
    <w:link w:val="Podtytu"/>
    <w:uiPriority w:val="11"/>
    <w:rsid w:val="00954ADA"/>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954ADA"/>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ytatZnak">
    <w:name w:val="Cytat Znak"/>
    <w:basedOn w:val="Domylnaczcionkaakapitu"/>
    <w:link w:val="Cytat"/>
    <w:uiPriority w:val="29"/>
    <w:rsid w:val="00954ADA"/>
    <w:rPr>
      <w:i/>
      <w:iCs/>
      <w:color w:val="404040" w:themeColor="text1" w:themeTint="BF"/>
    </w:rPr>
  </w:style>
  <w:style w:type="paragraph" w:styleId="Akapitzlist">
    <w:name w:val="List Paragraph"/>
    <w:basedOn w:val="Normalny"/>
    <w:uiPriority w:val="34"/>
    <w:qFormat/>
    <w:rsid w:val="00954ADA"/>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Wyrnienieintensywne">
    <w:name w:val="Intense Emphasis"/>
    <w:basedOn w:val="Domylnaczcionkaakapitu"/>
    <w:uiPriority w:val="21"/>
    <w:qFormat/>
    <w:rsid w:val="00954ADA"/>
    <w:rPr>
      <w:i/>
      <w:iCs/>
      <w:color w:val="2F5496" w:themeColor="accent1" w:themeShade="BF"/>
    </w:rPr>
  </w:style>
  <w:style w:type="paragraph" w:styleId="Cytatintensywny">
    <w:name w:val="Intense Quote"/>
    <w:basedOn w:val="Normalny"/>
    <w:next w:val="Normalny"/>
    <w:link w:val="CytatintensywnyZnak"/>
    <w:uiPriority w:val="30"/>
    <w:qFormat/>
    <w:rsid w:val="00954ADA"/>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CytatintensywnyZnak">
    <w:name w:val="Cytat intensywny Znak"/>
    <w:basedOn w:val="Domylnaczcionkaakapitu"/>
    <w:link w:val="Cytatintensywny"/>
    <w:uiPriority w:val="30"/>
    <w:rsid w:val="00954ADA"/>
    <w:rPr>
      <w:i/>
      <w:iCs/>
      <w:color w:val="2F5496" w:themeColor="accent1" w:themeShade="BF"/>
    </w:rPr>
  </w:style>
  <w:style w:type="character" w:styleId="Odwoanieintensywne">
    <w:name w:val="Intense Reference"/>
    <w:basedOn w:val="Domylnaczcionkaakapitu"/>
    <w:uiPriority w:val="32"/>
    <w:qFormat/>
    <w:rsid w:val="00954ADA"/>
    <w:rPr>
      <w:b/>
      <w:bCs/>
      <w:smallCaps/>
      <w:color w:val="2F5496" w:themeColor="accent1" w:themeShade="BF"/>
      <w:spacing w:val="5"/>
    </w:rPr>
  </w:style>
  <w:style w:type="paragraph" w:customStyle="1" w:styleId="Styl1">
    <w:name w:val="Styl1"/>
    <w:basedOn w:val="Tytu"/>
    <w:qFormat/>
    <w:rsid w:val="00954ADA"/>
    <w:pPr>
      <w:pBdr>
        <w:top w:val="single" w:sz="4" w:space="4" w:color="auto"/>
        <w:left w:val="single" w:sz="4" w:space="4" w:color="auto"/>
        <w:bottom w:val="single" w:sz="4" w:space="4" w:color="auto"/>
        <w:right w:val="single" w:sz="4" w:space="4" w:color="auto"/>
      </w:pBdr>
      <w:tabs>
        <w:tab w:val="left" w:pos="567"/>
        <w:tab w:val="left" w:pos="4536"/>
        <w:tab w:val="left" w:pos="5953"/>
      </w:tabs>
      <w:spacing w:after="120"/>
      <w:contextualSpacing w:val="0"/>
    </w:pPr>
    <w:rPr>
      <w:rFonts w:ascii="Arial" w:eastAsia="Times New Roman" w:hAnsi="Arial" w:cs="Times New Roman"/>
      <w:spacing w:val="0"/>
      <w:kern w:val="0"/>
      <w:sz w:val="20"/>
      <w:szCs w:val="20"/>
      <w:lang w:eastAsia="pl-PL"/>
      <w14:ligatures w14:val="none"/>
    </w:rPr>
  </w:style>
  <w:style w:type="paragraph" w:styleId="Nagwek">
    <w:name w:val="header"/>
    <w:basedOn w:val="Normalny"/>
    <w:link w:val="NagwekZnak"/>
    <w:uiPriority w:val="99"/>
    <w:unhideWhenUsed/>
    <w:rsid w:val="00954ADA"/>
    <w:pPr>
      <w:tabs>
        <w:tab w:val="center" w:pos="4536"/>
        <w:tab w:val="right" w:pos="9072"/>
      </w:tabs>
    </w:pPr>
  </w:style>
  <w:style w:type="character" w:customStyle="1" w:styleId="NagwekZnak">
    <w:name w:val="Nagłówek Znak"/>
    <w:basedOn w:val="Domylnaczcionkaakapitu"/>
    <w:link w:val="Nagwek"/>
    <w:uiPriority w:val="99"/>
    <w:rsid w:val="00954ADA"/>
    <w:rPr>
      <w:rFonts w:ascii="Times New Roman" w:eastAsia="Times New Roman" w:hAnsi="Times New Roman" w:cs="Times New Roman"/>
      <w:kern w:val="0"/>
      <w:lang w:eastAsia="pl-PL"/>
      <w14:ligatures w14:val="none"/>
    </w:rPr>
  </w:style>
  <w:style w:type="paragraph" w:styleId="Stopka">
    <w:name w:val="footer"/>
    <w:basedOn w:val="Normalny"/>
    <w:link w:val="StopkaZnak"/>
    <w:uiPriority w:val="99"/>
    <w:unhideWhenUsed/>
    <w:rsid w:val="00954ADA"/>
    <w:pPr>
      <w:tabs>
        <w:tab w:val="center" w:pos="4536"/>
        <w:tab w:val="right" w:pos="9072"/>
      </w:tabs>
    </w:pPr>
  </w:style>
  <w:style w:type="character" w:customStyle="1" w:styleId="StopkaZnak">
    <w:name w:val="Stopka Znak"/>
    <w:basedOn w:val="Domylnaczcionkaakapitu"/>
    <w:link w:val="Stopka"/>
    <w:uiPriority w:val="99"/>
    <w:rsid w:val="00954ADA"/>
    <w:rPr>
      <w:rFonts w:ascii="Times New Roman" w:eastAsia="Times New Roman" w:hAnsi="Times New Roman" w:cs="Times New Roman"/>
      <w:kern w:val="0"/>
      <w:lang w:eastAsia="pl-PL"/>
      <w14:ligatures w14:val="none"/>
    </w:rPr>
  </w:style>
  <w:style w:type="paragraph" w:styleId="Tekstdymka">
    <w:name w:val="Balloon Text"/>
    <w:basedOn w:val="Normalny"/>
    <w:link w:val="TekstdymkaZnak"/>
    <w:uiPriority w:val="99"/>
    <w:semiHidden/>
    <w:unhideWhenUsed/>
    <w:rsid w:val="00454BE4"/>
    <w:rPr>
      <w:rFonts w:ascii="Tahoma" w:hAnsi="Tahoma" w:cs="Tahoma"/>
      <w:sz w:val="16"/>
      <w:szCs w:val="16"/>
    </w:rPr>
  </w:style>
  <w:style w:type="character" w:customStyle="1" w:styleId="TekstdymkaZnak">
    <w:name w:val="Tekst dymka Znak"/>
    <w:basedOn w:val="Domylnaczcionkaakapitu"/>
    <w:link w:val="Tekstdymka"/>
    <w:uiPriority w:val="99"/>
    <w:semiHidden/>
    <w:rsid w:val="00454BE4"/>
    <w:rPr>
      <w:rFonts w:ascii="Tahoma" w:eastAsia="Times New Roman" w:hAnsi="Tahoma" w:cs="Tahoma"/>
      <w:kern w:val="0"/>
      <w:sz w:val="16"/>
      <w:szCs w:val="16"/>
      <w:lang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9</Pages>
  <Words>1313</Words>
  <Characters>7879</Characters>
  <Application>Microsoft Office Word</Application>
  <DocSecurity>0</DocSecurity>
  <Lines>65</Lines>
  <Paragraphs>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Xymena Kręciszewska</dc:creator>
  <cp:lastModifiedBy>Xymena Kręciszewska</cp:lastModifiedBy>
  <cp:revision>4</cp:revision>
  <dcterms:created xsi:type="dcterms:W3CDTF">2026-06-30T07:53:00Z</dcterms:created>
  <dcterms:modified xsi:type="dcterms:W3CDTF">2026-06-30T08:43:00Z</dcterms:modified>
</cp:coreProperties>
</file>